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2019年博士后研究人员招收计划汇总表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b/>
          <w:kern w:val="0"/>
          <w:sz w:val="36"/>
          <w:szCs w:val="36"/>
        </w:rPr>
      </w:pPr>
    </w:p>
    <w:tbl>
      <w:tblPr>
        <w:tblStyle w:val="4"/>
        <w:tblW w:w="141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21"/>
        <w:gridCol w:w="743"/>
        <w:gridCol w:w="1418"/>
        <w:gridCol w:w="2132"/>
        <w:gridCol w:w="4159"/>
        <w:gridCol w:w="4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合作导师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拟招人数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一级学科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研究内容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2"/>
                <w:szCs w:val="22"/>
              </w:rPr>
              <w:t>联系人及联系方式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马志永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预防兽医学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乙型脑炎病毒致病机制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马志永：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021-34293139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zhiyongma@shvri.ac.cn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陈兆国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1-2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人畜共患病及兽医公共卫生学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食源性病原感染、致病、免疫机制及食品安全研究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陈兆国：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021-34293157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chenzhaoguo@caas.cn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于圣青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细菌分子致病和免疫机制研究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1、禽重要病原菌的致病机制研究；2、布鲁菌的胞内存活机制研究。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于圣青：15021262511；</w:t>
            </w:r>
          </w:p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yus@shvri.ac.cn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周金林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寄生虫学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 xml:space="preserve"> 蜱及蜱传原虫病控制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周金林：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021-34293118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jinlinzhou@shvri.ac.cn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刘光清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兽医微生物及分子生物学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（1）动物病毒与宿主的相互作用；（2）动物病毒的天然免疫及其调节机制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刘光清：13816875222；liugq@shvri.ac.cn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程国锋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寄生虫分子生物学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寄生虫与宿主互作的分子机理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程国锋：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021-34293659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chenggfeng@shvri.ac.cn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冯新港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寄生虫细胞与分子免疫学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辐照蠕虫（血吸虫或线虫）保护性免疫的细胞与分子机制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instrText xml:space="preserve"> HYPERLINK "mailto:fengxingang@shvri.ac.cn" \o "mailto:fengxingang@shvri.ac.cn" </w:instrTex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Style w:val="3"/>
                <w:rFonts w:hint="eastAsia" w:ascii="宋体" w:hAnsi="宋体" w:cs="Tahoma"/>
                <w:kern w:val="0"/>
                <w:sz w:val="22"/>
                <w:szCs w:val="22"/>
              </w:rPr>
              <w:t>冯新港：18918023259；fengxingang@shvri.ac.cn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李泽君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兽医微生物及其分子生物学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禽流感病毒致病机理；鸭坦布苏病毒致病机理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instrText xml:space="preserve"> HYPERLINK "mailto:lizejun@shvri.ac.cn" \o "mailto:lizejun@shvri.ac.cn" </w:instrTex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李泽君</w:t>
            </w: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：15026666134；lizejun@shvri.ac.cn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邱亚峰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感染和免疫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巨噬细胞清道夫受体A（SRA/CD204）在猪呼吸道病原菌感染中的作用研究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邱亚峰：021-34680292； yafengq@shvri.ac.cn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刘芹防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兽医微生物及其分子生物学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流感病毒与宿主互作与相关分子机制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刘芹防：13524590796 liuqinfang@shvri.ac.cn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谷峰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生物学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动物药学研究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基因组编辑技术用于动物药物研发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 xml:space="preserve">谷峰：15258643950 </w:t>
            </w:r>
          </w:p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gufenguw@gmail.com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廖瑛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禽类病毒的应用型基础研究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应激颗粒小体在RNA病毒感染过程中的功能研究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廖瑛：13331872602；liaoying@shvri.ac.cn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陈鸿军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兽医学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动物病毒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 xml:space="preserve">非洲猪瘟病毒抑制宿主免疫应答机制研究，研究病毒蛋白与宿主互作的分子机制 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陈鸿军：13120731061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vetchj@shvri.ac.cn</w:t>
            </w:r>
          </w:p>
        </w:tc>
      </w:tr>
    </w:tbl>
    <w:p>
      <w:pPr>
        <w:snapToGrid w:val="0"/>
        <w:spacing w:line="480" w:lineRule="auto"/>
        <w:rPr>
          <w:rFonts w:hint="eastAsia" w:ascii="华文中宋" w:hAnsi="华文中宋" w:eastAsia="华文中宋"/>
          <w:b/>
          <w:sz w:val="36"/>
          <w:szCs w:val="36"/>
        </w:rPr>
      </w:pPr>
    </w:p>
    <w:p>
      <w:bookmarkStart w:id="0" w:name="_GoBack"/>
      <w:bookmarkEnd w:id="0"/>
    </w:p>
    <w:sectPr>
      <w:pgSz w:w="16840" w:h="11907" w:orient="landscape"/>
      <w:pgMar w:top="1531" w:right="1440" w:bottom="1531" w:left="1440" w:header="0" w:footer="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4340E"/>
    <w:rsid w:val="44243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5252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2018-12-14T00:38:00Z</dcterms:created>
  <dc:creator>blue</dc:creator>
  <cp:lastModifiedBy>blue</cp:lastModifiedBy>
  <dcterms:modified xsi:type="dcterms:W3CDTF">2018-12-14T00:38:28Z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